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EDC">
      <w:pPr>
        <w:shd w:val="clear" w:color="auto" w:fill="FFFFFF"/>
        <w:ind w:left="38"/>
        <w:jc w:val="center"/>
        <w:rPr>
          <w:rFonts w:eastAsia="Times New Roman"/>
          <w:b/>
          <w:bCs/>
          <w:color w:val="000000"/>
          <w:spacing w:val="1"/>
          <w:sz w:val="23"/>
          <w:szCs w:val="23"/>
        </w:rPr>
      </w:pPr>
      <w:r>
        <w:rPr>
          <w:b/>
          <w:bCs/>
          <w:color w:val="000000"/>
          <w:spacing w:val="1"/>
          <w:sz w:val="23"/>
          <w:szCs w:val="23"/>
        </w:rPr>
        <w:t>OBJA</w:t>
      </w:r>
      <w:r>
        <w:rPr>
          <w:rFonts w:eastAsia="Times New Roman"/>
          <w:b/>
          <w:bCs/>
          <w:color w:val="000000"/>
          <w:spacing w:val="1"/>
          <w:sz w:val="23"/>
          <w:szCs w:val="23"/>
        </w:rPr>
        <w:t>ŚNIENIA</w:t>
      </w:r>
    </w:p>
    <w:p w:rsidR="002B0828" w:rsidRDefault="002B0828">
      <w:pPr>
        <w:shd w:val="clear" w:color="auto" w:fill="FFFFFF"/>
        <w:ind w:left="38"/>
        <w:jc w:val="center"/>
      </w:pPr>
    </w:p>
    <w:p w:rsidR="00000000" w:rsidRPr="002B0828" w:rsidRDefault="00052EDC" w:rsidP="002B0828">
      <w:pPr>
        <w:pStyle w:val="Bezodstpw"/>
        <w:jc w:val="both"/>
        <w:rPr>
          <w:sz w:val="24"/>
          <w:szCs w:val="24"/>
        </w:rPr>
      </w:pPr>
      <w:r w:rsidRPr="002B0828">
        <w:rPr>
          <w:sz w:val="24"/>
          <w:szCs w:val="24"/>
        </w:rPr>
        <w:t xml:space="preserve">Wieloletnia Prognoza Finansowa (dalej: </w:t>
      </w:r>
      <w:proofErr w:type="spellStart"/>
      <w:r w:rsidRPr="002B0828">
        <w:rPr>
          <w:sz w:val="24"/>
          <w:szCs w:val="24"/>
        </w:rPr>
        <w:t>WPF</w:t>
      </w:r>
      <w:proofErr w:type="spellEnd"/>
      <w:r w:rsidRPr="002B0828">
        <w:rPr>
          <w:sz w:val="24"/>
          <w:szCs w:val="24"/>
        </w:rPr>
        <w:t>) dla Gminy Wi</w:t>
      </w:r>
      <w:r w:rsidRPr="002B0828">
        <w:rPr>
          <w:rFonts w:eastAsia="Times New Roman"/>
          <w:sz w:val="24"/>
          <w:szCs w:val="24"/>
        </w:rPr>
        <w:t xml:space="preserve">ęcbork obejmuje lata 2013 - 2028. W kalkulacji dochodów jako dane wyjściowe przyjęto plan dochodów na rok 2013 według stanu </w:t>
      </w:r>
      <w:r w:rsidRPr="002B0828">
        <w:rPr>
          <w:rFonts w:eastAsia="Times New Roman"/>
          <w:spacing w:val="1"/>
          <w:sz w:val="24"/>
          <w:szCs w:val="24"/>
        </w:rPr>
        <w:t>na dzień 01.01. Rokiem bazowym jest każ</w:t>
      </w:r>
      <w:r w:rsidRPr="002B0828">
        <w:rPr>
          <w:rFonts w:eastAsia="Times New Roman"/>
          <w:spacing w:val="1"/>
          <w:sz w:val="24"/>
          <w:szCs w:val="24"/>
        </w:rPr>
        <w:t xml:space="preserve">dorazowo poprzedni rok budżetowy. Najwyższy </w:t>
      </w:r>
      <w:r w:rsidRPr="002B0828">
        <w:rPr>
          <w:rFonts w:eastAsia="Times New Roman"/>
          <w:sz w:val="24"/>
          <w:szCs w:val="24"/>
        </w:rPr>
        <w:t xml:space="preserve">wzrost dochodów zaplanowano na 2014 rok i wynieść ma 1,59% w stosunku do roku 2013. </w:t>
      </w:r>
      <w:r w:rsidRPr="002B0828">
        <w:rPr>
          <w:rFonts w:eastAsia="Times New Roman"/>
          <w:spacing w:val="-2"/>
          <w:sz w:val="24"/>
          <w:szCs w:val="24"/>
        </w:rPr>
        <w:t xml:space="preserve">Wzrost wynika z faktu uwzględnienia w dochodach wpływów z opłaty śmieciowej (wpływy </w:t>
      </w:r>
      <w:r w:rsidRPr="002B0828">
        <w:rPr>
          <w:rFonts w:eastAsia="Times New Roman"/>
          <w:spacing w:val="1"/>
          <w:sz w:val="24"/>
          <w:szCs w:val="24"/>
        </w:rPr>
        <w:t>całoroczne) oraz wzrost dochodów z tytułu po</w:t>
      </w:r>
      <w:r w:rsidRPr="002B0828">
        <w:rPr>
          <w:rFonts w:eastAsia="Times New Roman"/>
          <w:spacing w:val="1"/>
          <w:sz w:val="24"/>
          <w:szCs w:val="24"/>
        </w:rPr>
        <w:t xml:space="preserve">datku od nieruchomości od osób prawnych z </w:t>
      </w:r>
      <w:r w:rsidRPr="002B0828">
        <w:rPr>
          <w:rFonts w:eastAsia="Times New Roman"/>
          <w:sz w:val="24"/>
          <w:szCs w:val="24"/>
        </w:rPr>
        <w:t xml:space="preserve">uwagi na przewidywane otwarcie w 2013 r. na terenie Gminy dużego centrum logistycznego. W następnych latach wzrost dochodów ocenia się jako umiarkowany (maksymalny wzrost wynieść ma w 2017 r. 1,54% w porównaniu do </w:t>
      </w:r>
      <w:r w:rsidRPr="002B0828">
        <w:rPr>
          <w:rFonts w:eastAsia="Times New Roman"/>
          <w:sz w:val="24"/>
          <w:szCs w:val="24"/>
        </w:rPr>
        <w:t xml:space="preserve">roku 2016) bądź okresowo pozostawia się je na stałym </w:t>
      </w:r>
      <w:r w:rsidRPr="002B0828">
        <w:rPr>
          <w:rFonts w:eastAsia="Times New Roman"/>
          <w:spacing w:val="3"/>
          <w:sz w:val="24"/>
          <w:szCs w:val="24"/>
        </w:rPr>
        <w:t xml:space="preserve">poziomie, z uwagi na mogące pojawić się problemy ze spływem dochodów. Ponadto, w </w:t>
      </w:r>
      <w:r w:rsidRPr="002B0828">
        <w:rPr>
          <w:rFonts w:eastAsia="Times New Roman"/>
          <w:sz w:val="24"/>
          <w:szCs w:val="24"/>
        </w:rPr>
        <w:t xml:space="preserve">związku z posiadanym zadłużeniem i koniecznością zapewnienia prawidłowej obsługi długu </w:t>
      </w:r>
      <w:r w:rsidRPr="002B0828">
        <w:rPr>
          <w:rFonts w:eastAsia="Times New Roman"/>
          <w:spacing w:val="-4"/>
          <w:sz w:val="24"/>
          <w:szCs w:val="24"/>
        </w:rPr>
        <w:t>konieczne jest zmiana harmonogramów</w:t>
      </w:r>
      <w:r w:rsidRPr="002B0828">
        <w:rPr>
          <w:rFonts w:eastAsia="Times New Roman"/>
          <w:spacing w:val="-4"/>
          <w:sz w:val="24"/>
          <w:szCs w:val="24"/>
        </w:rPr>
        <w:t xml:space="preserve"> spłat rat kredytów bankowych bądź zaciągnięcie kredytu </w:t>
      </w:r>
      <w:r w:rsidRPr="002B0828">
        <w:rPr>
          <w:rFonts w:eastAsia="Times New Roman"/>
          <w:spacing w:val="-2"/>
          <w:sz w:val="24"/>
          <w:szCs w:val="24"/>
        </w:rPr>
        <w:t xml:space="preserve">restrukturyzacyjnego umożliwiającego spłatę posiadanego zadłużenia do roku 2026. Natomiast </w:t>
      </w:r>
      <w:r w:rsidRPr="002B0828">
        <w:rPr>
          <w:rFonts w:eastAsia="Times New Roman"/>
          <w:sz w:val="24"/>
          <w:szCs w:val="24"/>
        </w:rPr>
        <w:t>do planowanych do zaciągnięcia kredytów w latach 2014-2016 przyjęto okres spłaty wynoszący maksymalnie 14 lat</w:t>
      </w:r>
      <w:r w:rsidRPr="002B0828">
        <w:rPr>
          <w:rFonts w:eastAsia="Times New Roman"/>
          <w:sz w:val="24"/>
          <w:szCs w:val="24"/>
        </w:rPr>
        <w:t xml:space="preserve">. Aktualnie </w:t>
      </w:r>
      <w:proofErr w:type="spellStart"/>
      <w:r w:rsidRPr="002B0828">
        <w:rPr>
          <w:rFonts w:eastAsia="Times New Roman"/>
          <w:sz w:val="24"/>
          <w:szCs w:val="24"/>
        </w:rPr>
        <w:t>WPF</w:t>
      </w:r>
      <w:proofErr w:type="spellEnd"/>
      <w:r w:rsidRPr="002B0828">
        <w:rPr>
          <w:rFonts w:eastAsia="Times New Roman"/>
          <w:sz w:val="24"/>
          <w:szCs w:val="24"/>
        </w:rPr>
        <w:t xml:space="preserve"> zakłada spłatę posiadanego zadłużenia do końca 2028 r. </w:t>
      </w:r>
      <w:r w:rsidRPr="002B0828">
        <w:rPr>
          <w:rFonts w:eastAsia="Times New Roman"/>
          <w:sz w:val="24"/>
          <w:szCs w:val="24"/>
        </w:rPr>
        <w:t xml:space="preserve">Obsługa pożyczek z Wojewódzkiego Funduszu Ochrony Środowiska pozostaje bez zmian z </w:t>
      </w:r>
      <w:r w:rsidRPr="002B0828">
        <w:rPr>
          <w:rFonts w:eastAsia="Times New Roman"/>
          <w:spacing w:val="-1"/>
          <w:sz w:val="24"/>
          <w:szCs w:val="24"/>
        </w:rPr>
        <w:t xml:space="preserve">uwagi na niskie koszty obsługi i posiadane zadłużenie wobec </w:t>
      </w:r>
      <w:proofErr w:type="spellStart"/>
      <w:r w:rsidRPr="002B0828">
        <w:rPr>
          <w:rFonts w:eastAsia="Times New Roman"/>
          <w:spacing w:val="-1"/>
          <w:sz w:val="24"/>
          <w:szCs w:val="24"/>
        </w:rPr>
        <w:t>WFOŚiGW</w:t>
      </w:r>
      <w:proofErr w:type="spellEnd"/>
      <w:r w:rsidRPr="002B0828">
        <w:rPr>
          <w:rFonts w:eastAsia="Times New Roman"/>
          <w:spacing w:val="-1"/>
          <w:sz w:val="24"/>
          <w:szCs w:val="24"/>
        </w:rPr>
        <w:t xml:space="preserve"> nie będzie objęta </w:t>
      </w:r>
      <w:r w:rsidRPr="002B0828">
        <w:rPr>
          <w:rFonts w:eastAsia="Times New Roman"/>
          <w:sz w:val="24"/>
          <w:szCs w:val="24"/>
        </w:rPr>
        <w:t>kredytem restruk</w:t>
      </w:r>
      <w:r w:rsidRPr="002B0828">
        <w:rPr>
          <w:rFonts w:eastAsia="Times New Roman"/>
          <w:sz w:val="24"/>
          <w:szCs w:val="24"/>
        </w:rPr>
        <w:t>turyzacyjnym.</w:t>
      </w:r>
    </w:p>
    <w:p w:rsidR="00000000" w:rsidRDefault="00052EDC" w:rsidP="002B0828">
      <w:pPr>
        <w:pStyle w:val="Bezodstpw"/>
        <w:jc w:val="both"/>
        <w:rPr>
          <w:rFonts w:eastAsia="Times New Roman"/>
          <w:spacing w:val="-4"/>
          <w:sz w:val="24"/>
          <w:szCs w:val="24"/>
        </w:rPr>
      </w:pPr>
      <w:r w:rsidRPr="002B0828">
        <w:rPr>
          <w:sz w:val="24"/>
          <w:szCs w:val="24"/>
        </w:rPr>
        <w:t>W bud</w:t>
      </w:r>
      <w:r w:rsidRPr="002B0828">
        <w:rPr>
          <w:rFonts w:eastAsia="Times New Roman"/>
          <w:sz w:val="24"/>
          <w:szCs w:val="24"/>
        </w:rPr>
        <w:t xml:space="preserve">żecie na 2013 r. widnieje znaczący wzrost dochodów ze sprzedaży majątku z uwagi na planowaną sprzedaż piętra budynku gminnego, który aktualnie jest wynajmowany przez spółkę </w:t>
      </w:r>
      <w:r w:rsidRPr="002B0828">
        <w:rPr>
          <w:rFonts w:eastAsia="Times New Roman"/>
          <w:spacing w:val="-1"/>
          <w:sz w:val="24"/>
          <w:szCs w:val="24"/>
        </w:rPr>
        <w:t>świadczącą usługi medyczne. Pozostałe dochody ze sprzedaży pocho</w:t>
      </w:r>
      <w:r w:rsidRPr="002B0828">
        <w:rPr>
          <w:rFonts w:eastAsia="Times New Roman"/>
          <w:spacing w:val="-1"/>
          <w:sz w:val="24"/>
          <w:szCs w:val="24"/>
        </w:rPr>
        <w:t xml:space="preserve">dzić będą zarówno ze </w:t>
      </w:r>
      <w:r w:rsidRPr="002B0828">
        <w:rPr>
          <w:rFonts w:eastAsia="Times New Roman"/>
          <w:spacing w:val="-4"/>
          <w:sz w:val="24"/>
          <w:szCs w:val="24"/>
        </w:rPr>
        <w:t>sprzedaży lokali mieszkalnych najemcom oraz nieruchomości gruntowych w formie przetargów.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000000" w:rsidRDefault="00052EDC" w:rsidP="002B0828">
      <w:pPr>
        <w:pStyle w:val="Bezodstpw"/>
        <w:jc w:val="both"/>
        <w:rPr>
          <w:rFonts w:eastAsia="Times New Roman"/>
          <w:spacing w:val="-3"/>
          <w:sz w:val="24"/>
          <w:szCs w:val="24"/>
        </w:rPr>
      </w:pPr>
      <w:r w:rsidRPr="002B0828">
        <w:rPr>
          <w:sz w:val="24"/>
          <w:szCs w:val="24"/>
        </w:rPr>
        <w:t>Dochody ze sprzeda</w:t>
      </w:r>
      <w:r w:rsidRPr="002B0828">
        <w:rPr>
          <w:rFonts w:eastAsia="Times New Roman"/>
          <w:sz w:val="24"/>
          <w:szCs w:val="24"/>
        </w:rPr>
        <w:t xml:space="preserve">ży majątku ustalono na podstawie sporządzonego wykazu nieruchomości </w:t>
      </w:r>
      <w:r w:rsidRPr="002B0828">
        <w:rPr>
          <w:rFonts w:eastAsia="Times New Roman"/>
          <w:spacing w:val="-1"/>
          <w:sz w:val="24"/>
          <w:szCs w:val="24"/>
        </w:rPr>
        <w:t>do sprzedaży na lata 2013 - 2022 z uwzględnieniem dodatkowo</w:t>
      </w:r>
      <w:r w:rsidRPr="002B0828">
        <w:rPr>
          <w:rFonts w:eastAsia="Times New Roman"/>
          <w:spacing w:val="-1"/>
          <w:sz w:val="24"/>
          <w:szCs w:val="24"/>
        </w:rPr>
        <w:t xml:space="preserve"> sprzedaży ratalnej (wykaz </w:t>
      </w:r>
      <w:r w:rsidRPr="002B0828">
        <w:rPr>
          <w:rFonts w:eastAsia="Times New Roman"/>
          <w:spacing w:val="-3"/>
          <w:sz w:val="24"/>
          <w:szCs w:val="24"/>
        </w:rPr>
        <w:t xml:space="preserve">załączony był do projektu </w:t>
      </w:r>
      <w:proofErr w:type="spellStart"/>
      <w:r w:rsidRPr="002B0828">
        <w:rPr>
          <w:rFonts w:eastAsia="Times New Roman"/>
          <w:spacing w:val="-3"/>
          <w:sz w:val="24"/>
          <w:szCs w:val="24"/>
        </w:rPr>
        <w:t>WPF</w:t>
      </w:r>
      <w:proofErr w:type="spellEnd"/>
      <w:r w:rsidRPr="002B0828">
        <w:rPr>
          <w:rFonts w:eastAsia="Times New Roman"/>
          <w:spacing w:val="-3"/>
          <w:sz w:val="24"/>
          <w:szCs w:val="24"/>
        </w:rPr>
        <w:t>). Dane na lata 2023-2028 przyjęto na poziomie roku 2022.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000000" w:rsidRDefault="00052EDC" w:rsidP="002B0828">
      <w:pPr>
        <w:pStyle w:val="Bezodstpw"/>
        <w:jc w:val="both"/>
        <w:rPr>
          <w:rFonts w:eastAsia="Times New Roman"/>
          <w:spacing w:val="-3"/>
          <w:sz w:val="24"/>
          <w:szCs w:val="24"/>
        </w:rPr>
      </w:pPr>
      <w:r w:rsidRPr="002B0828">
        <w:rPr>
          <w:rFonts w:eastAsia="Times New Roman"/>
          <w:spacing w:val="2"/>
          <w:sz w:val="24"/>
          <w:szCs w:val="24"/>
        </w:rPr>
        <w:t xml:space="preserve">Środki pochodzące z </w:t>
      </w:r>
      <w:proofErr w:type="spellStart"/>
      <w:r w:rsidRPr="002B0828">
        <w:rPr>
          <w:rFonts w:eastAsia="Times New Roman"/>
          <w:spacing w:val="2"/>
          <w:sz w:val="24"/>
          <w:szCs w:val="24"/>
        </w:rPr>
        <w:t>UE</w:t>
      </w:r>
      <w:proofErr w:type="spellEnd"/>
      <w:r w:rsidRPr="002B0828">
        <w:rPr>
          <w:rFonts w:eastAsia="Times New Roman"/>
          <w:spacing w:val="2"/>
          <w:sz w:val="24"/>
          <w:szCs w:val="24"/>
        </w:rPr>
        <w:t xml:space="preserve"> na lata 2013 - 2015 zaplanowano na podstawie podpisanych umów </w:t>
      </w:r>
      <w:r w:rsidRPr="002B0828">
        <w:rPr>
          <w:rFonts w:eastAsia="Times New Roman"/>
          <w:spacing w:val="-3"/>
          <w:sz w:val="24"/>
          <w:szCs w:val="24"/>
        </w:rPr>
        <w:t>z Urzędem Marszałkowski oraz alokacji środków na poszczeg</w:t>
      </w:r>
      <w:r w:rsidRPr="002B0828">
        <w:rPr>
          <w:rFonts w:eastAsia="Times New Roman"/>
          <w:spacing w:val="-3"/>
          <w:sz w:val="24"/>
          <w:szCs w:val="24"/>
        </w:rPr>
        <w:t xml:space="preserve">ólne gminy w ramach </w:t>
      </w:r>
      <w:proofErr w:type="spellStart"/>
      <w:r w:rsidRPr="002B0828">
        <w:rPr>
          <w:rFonts w:eastAsia="Times New Roman"/>
          <w:spacing w:val="-3"/>
          <w:sz w:val="24"/>
          <w:szCs w:val="24"/>
        </w:rPr>
        <w:t>RPO</w:t>
      </w:r>
      <w:proofErr w:type="spellEnd"/>
      <w:r w:rsidRPr="002B0828">
        <w:rPr>
          <w:rFonts w:eastAsia="Times New Roman"/>
          <w:spacing w:val="-3"/>
          <w:sz w:val="24"/>
          <w:szCs w:val="24"/>
        </w:rPr>
        <w:t>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000000" w:rsidRDefault="00052EDC" w:rsidP="002B0828">
      <w:pPr>
        <w:pStyle w:val="Bezodstpw"/>
        <w:jc w:val="both"/>
        <w:rPr>
          <w:rFonts w:eastAsia="Times New Roman"/>
          <w:spacing w:val="-2"/>
          <w:sz w:val="24"/>
          <w:szCs w:val="24"/>
        </w:rPr>
      </w:pPr>
      <w:r w:rsidRPr="002B0828">
        <w:rPr>
          <w:spacing w:val="-2"/>
          <w:sz w:val="24"/>
          <w:szCs w:val="24"/>
        </w:rPr>
        <w:t>W latach 2013 - 2028 nie planuje si</w:t>
      </w:r>
      <w:r w:rsidRPr="002B0828">
        <w:rPr>
          <w:rFonts w:eastAsia="Times New Roman"/>
          <w:spacing w:val="-2"/>
          <w:sz w:val="24"/>
          <w:szCs w:val="24"/>
        </w:rPr>
        <w:t>ę udzielania pożyczek oraz poręczeń i gwarancji.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000000" w:rsidRPr="002B0828" w:rsidRDefault="00052EDC" w:rsidP="002B0828">
      <w:pPr>
        <w:pStyle w:val="Bezodstpw"/>
        <w:jc w:val="both"/>
        <w:rPr>
          <w:sz w:val="24"/>
          <w:szCs w:val="24"/>
        </w:rPr>
      </w:pPr>
      <w:r w:rsidRPr="002B0828">
        <w:rPr>
          <w:spacing w:val="7"/>
          <w:sz w:val="24"/>
          <w:szCs w:val="24"/>
        </w:rPr>
        <w:t>Na 2013 r. zaplanowano nadwy</w:t>
      </w:r>
      <w:r w:rsidRPr="002B0828">
        <w:rPr>
          <w:rFonts w:eastAsia="Times New Roman"/>
          <w:spacing w:val="7"/>
          <w:sz w:val="24"/>
          <w:szCs w:val="24"/>
        </w:rPr>
        <w:t xml:space="preserve">żkę budżetową w wysokości 747.547,95 zł. Spłata </w:t>
      </w:r>
      <w:r w:rsidRPr="002B0828">
        <w:rPr>
          <w:rFonts w:eastAsia="Times New Roman"/>
          <w:sz w:val="24"/>
          <w:szCs w:val="24"/>
        </w:rPr>
        <w:t>zaplanowanych rozchodów nastąpi ze środkó</w:t>
      </w:r>
      <w:r w:rsidRPr="002B0828">
        <w:rPr>
          <w:rFonts w:eastAsia="Times New Roman"/>
          <w:sz w:val="24"/>
          <w:szCs w:val="24"/>
        </w:rPr>
        <w:t xml:space="preserve">w kredytowych (w prognozie zaplanowano </w:t>
      </w:r>
      <w:r w:rsidRPr="002B0828">
        <w:rPr>
          <w:rFonts w:eastAsia="Times New Roman"/>
          <w:spacing w:val="6"/>
          <w:sz w:val="24"/>
          <w:szCs w:val="24"/>
        </w:rPr>
        <w:t xml:space="preserve">zaciągnięcie kredytu na kwotę 1.974.894,73 zł) oraz środków wolnych w wysokości </w:t>
      </w:r>
      <w:r w:rsidRPr="002B0828">
        <w:rPr>
          <w:rFonts w:eastAsia="Times New Roman"/>
          <w:spacing w:val="-2"/>
          <w:sz w:val="24"/>
          <w:szCs w:val="24"/>
        </w:rPr>
        <w:t>598.421,77 zł. Nadwyżka z 2013 r. stanowić będzie źródło finansowania rozchodów z 2014 r. wraz z zaplanowanym na ten rok kredytem w wysok</w:t>
      </w:r>
      <w:r w:rsidRPr="002B0828">
        <w:rPr>
          <w:rFonts w:eastAsia="Times New Roman"/>
          <w:spacing w:val="-2"/>
          <w:sz w:val="24"/>
          <w:szCs w:val="24"/>
        </w:rPr>
        <w:t xml:space="preserve">ości 2.976.607,05 zł (w tym na pokrycie </w:t>
      </w:r>
      <w:r w:rsidRPr="002B0828">
        <w:rPr>
          <w:rFonts w:eastAsia="Times New Roman"/>
          <w:sz w:val="24"/>
          <w:szCs w:val="24"/>
        </w:rPr>
        <w:t xml:space="preserve">deficytu 2.784.155,00 zł). W 2015 r. rozchody finansowane będą kredytem w wysokości </w:t>
      </w:r>
      <w:r w:rsidRPr="002B0828">
        <w:rPr>
          <w:rFonts w:eastAsia="Times New Roman"/>
          <w:spacing w:val="-3"/>
          <w:sz w:val="24"/>
          <w:szCs w:val="24"/>
        </w:rPr>
        <w:t xml:space="preserve">1.150.000,00 zł. Nadwyżka z 2015 r. stanowić będzie źródło finansowania rozchodów z 2016 r. wraz z zaplanowanym na ten rok kredytem </w:t>
      </w:r>
      <w:r w:rsidRPr="002B0828">
        <w:rPr>
          <w:rFonts w:eastAsia="Times New Roman"/>
          <w:spacing w:val="-3"/>
          <w:sz w:val="24"/>
          <w:szCs w:val="24"/>
        </w:rPr>
        <w:t>w wysokości 787.270,00 zł.</w:t>
      </w:r>
    </w:p>
    <w:p w:rsidR="00000000" w:rsidRPr="002B0828" w:rsidRDefault="00052EDC" w:rsidP="002B0828">
      <w:pPr>
        <w:pStyle w:val="Bezodstpw"/>
        <w:jc w:val="both"/>
        <w:rPr>
          <w:sz w:val="24"/>
          <w:szCs w:val="24"/>
        </w:rPr>
      </w:pPr>
      <w:r w:rsidRPr="002B0828">
        <w:rPr>
          <w:spacing w:val="4"/>
          <w:sz w:val="24"/>
          <w:szCs w:val="24"/>
        </w:rPr>
        <w:t>Natomiast sp</w:t>
      </w:r>
      <w:r w:rsidRPr="002B0828">
        <w:rPr>
          <w:rFonts w:eastAsia="Times New Roman"/>
          <w:spacing w:val="4"/>
          <w:sz w:val="24"/>
          <w:szCs w:val="24"/>
        </w:rPr>
        <w:t xml:space="preserve">łaty zadłużenia w latach 2017 - 2028 sfinansowane będą z nadwyżek z lat </w:t>
      </w:r>
      <w:r w:rsidRPr="002B0828">
        <w:rPr>
          <w:rFonts w:eastAsia="Times New Roman"/>
          <w:spacing w:val="-3"/>
          <w:sz w:val="24"/>
          <w:szCs w:val="24"/>
        </w:rPr>
        <w:t>ubiegłych w następujący sposób:</w:t>
      </w:r>
    </w:p>
    <w:p w:rsidR="00000000" w:rsidRPr="002B0828" w:rsidRDefault="00052EDC" w:rsidP="002B0828">
      <w:pPr>
        <w:pStyle w:val="Bezodstpw"/>
        <w:numPr>
          <w:ilvl w:val="0"/>
          <w:numId w:val="3"/>
        </w:numPr>
        <w:jc w:val="both"/>
        <w:rPr>
          <w:spacing w:val="-2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2017 r. w wysokości 1.400.000,00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 xml:space="preserve">nadwyżki budżetowej roku </w:t>
      </w:r>
      <w:r w:rsidRPr="002B0828">
        <w:rPr>
          <w:rFonts w:eastAsia="Times New Roman"/>
          <w:spacing w:val="-3"/>
          <w:sz w:val="24"/>
          <w:szCs w:val="24"/>
        </w:rPr>
        <w:t>2016,</w:t>
      </w:r>
    </w:p>
    <w:p w:rsidR="002B0828" w:rsidRPr="002B0828" w:rsidRDefault="00052EDC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2018 r. w wysokości 1.500.000,00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2017,</w:t>
      </w:r>
      <w:r w:rsidR="002B0828" w:rsidRPr="002B0828">
        <w:rPr>
          <w:sz w:val="24"/>
          <w:szCs w:val="24"/>
        </w:rPr>
        <w:t xml:space="preserve"> 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lastRenderedPageBreak/>
        <w:t>sp</w:t>
      </w:r>
      <w:r w:rsidRPr="002B0828">
        <w:rPr>
          <w:rFonts w:eastAsia="Times New Roman"/>
          <w:sz w:val="24"/>
          <w:szCs w:val="24"/>
        </w:rPr>
        <w:t>łata rat kapitałowych w 2019 r. w wysokości 1.650.000,00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2018,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4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2020 r. w wysokości 1.850.000,00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2019,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2021 r. w wysokości 1.950.000,00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2020,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6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2022 r. w wysokości 2.000.000,00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2021,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7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2023 r. w wysokości 2.000.000,00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2022,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2024 r. w wysokości 2.000.000,00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2023,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7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2025 r. w wysokości 2.000.000,00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2024,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2026 r. w wysokości 2.000.000,00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2025,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z w:val="24"/>
          <w:szCs w:val="24"/>
        </w:rPr>
        <w:t>sp</w:t>
      </w:r>
      <w:r w:rsidRPr="002B0828">
        <w:rPr>
          <w:rFonts w:eastAsia="Times New Roman"/>
          <w:sz w:val="24"/>
          <w:szCs w:val="24"/>
        </w:rPr>
        <w:t>łata rat kapitałowych w 2027 r. w wysokości 1.393.499,03 zł nastąpi z planowanej</w:t>
      </w:r>
      <w:r w:rsidRPr="002B0828">
        <w:rPr>
          <w:rFonts w:eastAsia="Times New Roman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2026,</w:t>
      </w:r>
    </w:p>
    <w:p w:rsidR="002B0828" w:rsidRPr="002B0828" w:rsidRDefault="002B0828" w:rsidP="002B0828">
      <w:pPr>
        <w:pStyle w:val="Bezodstpw"/>
        <w:numPr>
          <w:ilvl w:val="0"/>
          <w:numId w:val="3"/>
        </w:numPr>
        <w:jc w:val="both"/>
        <w:rPr>
          <w:spacing w:val="-18"/>
          <w:sz w:val="24"/>
          <w:szCs w:val="24"/>
        </w:rPr>
      </w:pPr>
      <w:r w:rsidRPr="002B0828">
        <w:rPr>
          <w:spacing w:val="4"/>
          <w:sz w:val="24"/>
          <w:szCs w:val="24"/>
        </w:rPr>
        <w:t>sp</w:t>
      </w:r>
      <w:r w:rsidRPr="002B0828">
        <w:rPr>
          <w:rFonts w:eastAsia="Times New Roman"/>
          <w:spacing w:val="4"/>
          <w:sz w:val="24"/>
          <w:szCs w:val="24"/>
        </w:rPr>
        <w:t>łata rat kapitałowych w 2028 r. w wysokości 196.320,00 zł nastąpi z planowanej</w:t>
      </w:r>
      <w:r w:rsidRPr="002B0828">
        <w:rPr>
          <w:rFonts w:eastAsia="Times New Roman"/>
          <w:spacing w:val="4"/>
          <w:sz w:val="24"/>
          <w:szCs w:val="24"/>
        </w:rPr>
        <w:br/>
      </w:r>
      <w:r w:rsidRPr="002B0828">
        <w:rPr>
          <w:rFonts w:eastAsia="Times New Roman"/>
          <w:spacing w:val="-3"/>
          <w:sz w:val="24"/>
          <w:szCs w:val="24"/>
        </w:rPr>
        <w:t>nadwyżki budżetowej roku 2027.</w:t>
      </w:r>
    </w:p>
    <w:p w:rsidR="002B0828" w:rsidRPr="002B0828" w:rsidRDefault="002B0828" w:rsidP="002B0828">
      <w:pPr>
        <w:pStyle w:val="Bezodstpw"/>
        <w:ind w:left="720"/>
        <w:jc w:val="both"/>
        <w:rPr>
          <w:spacing w:val="-18"/>
          <w:sz w:val="24"/>
          <w:szCs w:val="24"/>
        </w:rPr>
      </w:pPr>
    </w:p>
    <w:p w:rsidR="002B0828" w:rsidRDefault="002B0828" w:rsidP="002B0828">
      <w:pPr>
        <w:pStyle w:val="Bezodstpw"/>
        <w:jc w:val="both"/>
        <w:rPr>
          <w:rFonts w:eastAsia="Times New Roman"/>
          <w:spacing w:val="-6"/>
          <w:sz w:val="24"/>
          <w:szCs w:val="24"/>
        </w:rPr>
      </w:pPr>
      <w:r w:rsidRPr="002B0828">
        <w:rPr>
          <w:sz w:val="24"/>
          <w:szCs w:val="24"/>
        </w:rPr>
        <w:t>Do wyliczenia kwoty d</w:t>
      </w:r>
      <w:r w:rsidRPr="002B0828">
        <w:rPr>
          <w:rFonts w:eastAsia="Times New Roman"/>
          <w:sz w:val="24"/>
          <w:szCs w:val="24"/>
        </w:rPr>
        <w:t>ługu przyjęto przewidywaną kwotę dł</w:t>
      </w:r>
      <w:r w:rsidR="00052EDC">
        <w:rPr>
          <w:rFonts w:eastAsia="Times New Roman"/>
          <w:sz w:val="24"/>
          <w:szCs w:val="24"/>
        </w:rPr>
        <w:t xml:space="preserve">ugu na koniec 2012 r.                </w:t>
      </w:r>
      <w:r w:rsidRPr="002B0828">
        <w:rPr>
          <w:rFonts w:eastAsia="Times New Roman"/>
          <w:sz w:val="24"/>
          <w:szCs w:val="24"/>
        </w:rPr>
        <w:t xml:space="preserve">w wysokości </w:t>
      </w:r>
      <w:r w:rsidRPr="002B0828">
        <w:rPr>
          <w:rFonts w:eastAsia="Times New Roman"/>
          <w:spacing w:val="-6"/>
          <w:sz w:val="24"/>
          <w:szCs w:val="24"/>
        </w:rPr>
        <w:t>19.114.363,75 zł.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2B0828" w:rsidRDefault="002B0828" w:rsidP="002B0828">
      <w:pPr>
        <w:pStyle w:val="Bezodstpw"/>
        <w:jc w:val="both"/>
        <w:rPr>
          <w:rFonts w:eastAsia="Times New Roman"/>
          <w:sz w:val="24"/>
          <w:szCs w:val="24"/>
        </w:rPr>
      </w:pPr>
      <w:r w:rsidRPr="002B0828">
        <w:rPr>
          <w:spacing w:val="-2"/>
          <w:sz w:val="24"/>
          <w:szCs w:val="24"/>
        </w:rPr>
        <w:t>Wieloletnia Prognoza Finansowa nie przewiduje umorze</w:t>
      </w:r>
      <w:r w:rsidRPr="002B0828">
        <w:rPr>
          <w:rFonts w:eastAsia="Times New Roman"/>
          <w:spacing w:val="-2"/>
          <w:sz w:val="24"/>
          <w:szCs w:val="24"/>
        </w:rPr>
        <w:t xml:space="preserve">ń pożyczek z </w:t>
      </w:r>
      <w:proofErr w:type="spellStart"/>
      <w:r w:rsidRPr="002B0828">
        <w:rPr>
          <w:rFonts w:eastAsia="Times New Roman"/>
          <w:spacing w:val="-2"/>
          <w:sz w:val="24"/>
          <w:szCs w:val="24"/>
        </w:rPr>
        <w:t>WFOŚiGW</w:t>
      </w:r>
      <w:proofErr w:type="spellEnd"/>
      <w:r w:rsidRPr="002B0828">
        <w:rPr>
          <w:rFonts w:eastAsia="Times New Roman"/>
          <w:spacing w:val="-2"/>
          <w:sz w:val="24"/>
          <w:szCs w:val="24"/>
        </w:rPr>
        <w:t xml:space="preserve">. Prognozuje </w:t>
      </w:r>
      <w:r w:rsidRPr="002B0828">
        <w:rPr>
          <w:rFonts w:eastAsia="Times New Roman"/>
          <w:sz w:val="24"/>
          <w:szCs w:val="24"/>
        </w:rPr>
        <w:t>się całkowitą spłatę długu do 2028 roku natomiast planowana nadwyżka budżetowa w roku 2013 oraz z latach 2015 - 2027 zgodnie z wyjaśnieniem przedstawionym powyżej przeznaczona zostanie na spłatę długu.</w:t>
      </w: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</w:p>
    <w:p w:rsidR="002B0828" w:rsidRPr="002B0828" w:rsidRDefault="002B0828" w:rsidP="002B0828">
      <w:pPr>
        <w:pStyle w:val="Bezodstpw"/>
        <w:jc w:val="both"/>
        <w:rPr>
          <w:sz w:val="24"/>
          <w:szCs w:val="24"/>
        </w:rPr>
      </w:pPr>
      <w:r w:rsidRPr="002B0828">
        <w:rPr>
          <w:spacing w:val="1"/>
          <w:sz w:val="24"/>
          <w:szCs w:val="24"/>
        </w:rPr>
        <w:t>W za</w:t>
      </w:r>
      <w:r w:rsidRPr="002B0828">
        <w:rPr>
          <w:rFonts w:eastAsia="Times New Roman"/>
          <w:spacing w:val="1"/>
          <w:sz w:val="24"/>
          <w:szCs w:val="24"/>
        </w:rPr>
        <w:t xml:space="preserve">łączniku stanowiącym wykaz przedsięwzięć w rubryce dotyczącej okresu realizacji </w:t>
      </w:r>
      <w:r w:rsidRPr="002B0828">
        <w:rPr>
          <w:rFonts w:eastAsia="Times New Roman"/>
          <w:spacing w:val="-3"/>
          <w:sz w:val="24"/>
          <w:szCs w:val="24"/>
        </w:rPr>
        <w:t xml:space="preserve">wykazano lata faktycznej realizacji przedsięwzięcia tj. od roku w którym poniesiono pierwsze </w:t>
      </w:r>
      <w:r w:rsidRPr="002B0828">
        <w:rPr>
          <w:rFonts w:eastAsia="Times New Roman"/>
          <w:sz w:val="24"/>
          <w:szCs w:val="24"/>
        </w:rPr>
        <w:t xml:space="preserve">wydatki do roku gdzie założono zakończenie przedsięwzięcia. Rubryka „Łączne nakłady </w:t>
      </w:r>
      <w:r w:rsidRPr="002B0828">
        <w:rPr>
          <w:rFonts w:eastAsia="Times New Roman"/>
          <w:spacing w:val="-2"/>
          <w:sz w:val="24"/>
          <w:szCs w:val="24"/>
        </w:rPr>
        <w:t xml:space="preserve">finansowe" obejmuje zarówno nakłady objęte limitem na lata 2013-2015 jak i nakłady już </w:t>
      </w:r>
      <w:r w:rsidRPr="002B0828">
        <w:rPr>
          <w:rFonts w:eastAsia="Times New Roman"/>
          <w:spacing w:val="-3"/>
          <w:sz w:val="24"/>
          <w:szCs w:val="24"/>
        </w:rPr>
        <w:t>zrealizowane. Natomiast limit zobowiązań stanowi sumę limitów w latach 2013-2015.</w:t>
      </w:r>
    </w:p>
    <w:sectPr w:rsidR="002B0828" w:rsidRPr="002B0828" w:rsidSect="00052EDC">
      <w:type w:val="continuous"/>
      <w:pgSz w:w="11909" w:h="16834"/>
      <w:pgMar w:top="1560" w:right="1419" w:bottom="1843" w:left="141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0A5"/>
    <w:multiLevelType w:val="singleLevel"/>
    <w:tmpl w:val="DDA458B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0F9E6128"/>
    <w:multiLevelType w:val="singleLevel"/>
    <w:tmpl w:val="93E64BD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45901F5"/>
    <w:multiLevelType w:val="hybridMultilevel"/>
    <w:tmpl w:val="62D86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0828"/>
    <w:rsid w:val="00052EDC"/>
    <w:rsid w:val="002B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0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Masztakowski</dc:creator>
  <cp:keywords/>
  <dc:description/>
  <cp:lastModifiedBy>Jacek Masztakowski</cp:lastModifiedBy>
  <cp:revision>2</cp:revision>
  <dcterms:created xsi:type="dcterms:W3CDTF">2013-10-22T11:45:00Z</dcterms:created>
  <dcterms:modified xsi:type="dcterms:W3CDTF">2013-10-22T11:52:00Z</dcterms:modified>
</cp:coreProperties>
</file>